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B2" w:rsidRPr="005507B2" w:rsidRDefault="005507B2" w:rsidP="005507B2">
      <w:pPr>
        <w:rPr>
          <w:rStyle w:val="a3"/>
        </w:rPr>
      </w:pPr>
      <w:r w:rsidRPr="005507B2">
        <w:fldChar w:fldCharType="begin"/>
      </w:r>
      <w:r w:rsidRPr="005507B2">
        <w:instrText xml:space="preserve"> HYPERLINK "https://www.youtube.com/watch?v=uPhbUkhKtQg&amp;feature=youtu.be" \o "100-летие ДАССР" </w:instrText>
      </w:r>
      <w:r w:rsidRPr="005507B2">
        <w:fldChar w:fldCharType="separate"/>
      </w:r>
      <w:r w:rsidRPr="005507B2">
        <w:rPr>
          <w:rStyle w:val="a3"/>
        </w:rPr>
        <w:br/>
      </w:r>
    </w:p>
    <w:p w:rsidR="005507B2" w:rsidRPr="005507B2" w:rsidRDefault="005507B2" w:rsidP="005507B2">
      <w:pPr>
        <w:rPr>
          <w:rStyle w:val="a3"/>
        </w:rPr>
      </w:pPr>
      <w:r w:rsidRPr="005507B2">
        <w:rPr>
          <w:rStyle w:val="a3"/>
        </w:rPr>
        <w:t>100-летие ДАССР</w:t>
      </w:r>
    </w:p>
    <w:p w:rsidR="005507B2" w:rsidRPr="005507B2" w:rsidRDefault="005507B2" w:rsidP="005507B2">
      <w:pPr>
        <w:rPr>
          <w:rStyle w:val="a3"/>
        </w:rPr>
      </w:pPr>
      <w:r w:rsidRPr="005507B2">
        <w:fldChar w:fldCharType="end"/>
      </w:r>
      <w:r w:rsidRPr="005507B2">
        <w:fldChar w:fldCharType="begin"/>
      </w:r>
      <w:r w:rsidRPr="005507B2">
        <w:instrText xml:space="preserve"> HYPERLINK "https://www.youtube.com/watch?v=uPhbUkhKtQg&amp;feature=youtu.be" \o "100-летие ДАССР" </w:instrText>
      </w:r>
      <w:r w:rsidRPr="005507B2">
        <w:fldChar w:fldCharType="separate"/>
      </w:r>
      <w:r w:rsidRPr="005507B2">
        <w:rPr>
          <w:rStyle w:val="a3"/>
          <w:noProof/>
          <w:lang w:eastAsia="ru-RU"/>
        </w:rPr>
        <w:drawing>
          <wp:inline distT="0" distB="0" distL="0" distR="0">
            <wp:extent cx="4134485" cy="3103245"/>
            <wp:effectExtent l="0" t="0" r="0" b="1905"/>
            <wp:docPr id="6" name="Рисунок 6" descr="100-летие ДАССР">
              <a:hlinkClick xmlns:a="http://schemas.openxmlformats.org/drawingml/2006/main" r:id="rId6" tooltip="&quot;100-летие ДАСС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-летие ДАССР">
                      <a:hlinkClick r:id="rId6" tooltip="&quot;100-летие ДАСС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7B2" w:rsidRPr="005507B2" w:rsidRDefault="005507B2" w:rsidP="005507B2">
      <w:pPr>
        <w:rPr>
          <w:rStyle w:val="a3"/>
        </w:rPr>
      </w:pPr>
      <w:r w:rsidRPr="005507B2">
        <w:rPr>
          <w:rStyle w:val="a3"/>
        </w:rPr>
        <w:t>100-летие ДАССР</w:t>
      </w:r>
    </w:p>
    <w:p w:rsidR="005507B2" w:rsidRPr="005507B2" w:rsidRDefault="005507B2" w:rsidP="005507B2">
      <w:pPr>
        <w:rPr>
          <w:rStyle w:val="a3"/>
        </w:rPr>
      </w:pPr>
      <w:r w:rsidRPr="005507B2">
        <w:fldChar w:fldCharType="end"/>
      </w:r>
      <w:r w:rsidRPr="005507B2">
        <w:fldChar w:fldCharType="begin"/>
      </w:r>
      <w:r w:rsidRPr="005507B2">
        <w:instrText xml:space="preserve"> HYPERLINK "https://www.youtube.com/watch?v=uPhbUkhKtQg&amp;feature=youtu.be" \o "100-летие ДАССР" </w:instrText>
      </w:r>
      <w:r w:rsidRPr="005507B2">
        <w:fldChar w:fldCharType="separate"/>
      </w:r>
      <w:r w:rsidRPr="005507B2">
        <w:rPr>
          <w:rStyle w:val="a3"/>
          <w:noProof/>
          <w:lang w:eastAsia="ru-RU"/>
        </w:rPr>
        <w:drawing>
          <wp:inline distT="0" distB="0" distL="0" distR="0">
            <wp:extent cx="4134485" cy="3103245"/>
            <wp:effectExtent l="0" t="0" r="0" b="1905"/>
            <wp:docPr id="5" name="Рисунок 5" descr="100-летие ДАССР">
              <a:hlinkClick xmlns:a="http://schemas.openxmlformats.org/drawingml/2006/main" r:id="rId6" tooltip="&quot;100-летие ДАССР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-летие ДАССР">
                      <a:hlinkClick r:id="rId6" tooltip="&quot;100-летие ДАССР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7B2" w:rsidRPr="005507B2" w:rsidRDefault="005507B2" w:rsidP="005507B2">
      <w:pPr>
        <w:rPr>
          <w:rStyle w:val="a3"/>
        </w:rPr>
      </w:pPr>
      <w:r w:rsidRPr="005507B2">
        <w:rPr>
          <w:rStyle w:val="a3"/>
        </w:rPr>
        <w:t>100-летие ДАССР</w:t>
      </w:r>
    </w:p>
    <w:p w:rsidR="005507B2" w:rsidRPr="005507B2" w:rsidRDefault="005507B2" w:rsidP="005507B2">
      <w:r w:rsidRPr="005507B2">
        <w:fldChar w:fldCharType="end"/>
      </w:r>
    </w:p>
    <w:p w:rsidR="005507B2" w:rsidRPr="005507B2" w:rsidRDefault="005507B2" w:rsidP="005507B2">
      <w:r w:rsidRPr="005507B2">
        <w:t>100-летие ДАССР</w:t>
      </w:r>
    </w:p>
    <w:p w:rsidR="005507B2" w:rsidRPr="005507B2" w:rsidRDefault="005507B2" w:rsidP="005507B2">
      <w:r w:rsidRPr="005507B2">
        <w:rPr>
          <w:b/>
          <w:bCs/>
        </w:rPr>
        <w:t>Руководство по использованию элементов официального визуального стиля празднования 100-летия со дня образования Дагестанской Автономной Советской Социалистической Республики.</w:t>
      </w:r>
    </w:p>
    <w:p w:rsidR="005507B2" w:rsidRPr="005507B2" w:rsidRDefault="005507B2" w:rsidP="005507B2">
      <w:pPr>
        <w:numPr>
          <w:ilvl w:val="0"/>
          <w:numId w:val="2"/>
        </w:numPr>
      </w:pPr>
      <w:r w:rsidRPr="005507B2">
        <w:rPr>
          <w:noProof/>
          <w:lang w:eastAsia="ru-RU"/>
        </w:rPr>
        <w:lastRenderedPageBreak/>
        <w:drawing>
          <wp:inline distT="0" distB="0" distL="0" distR="0">
            <wp:extent cx="1332865" cy="1332865"/>
            <wp:effectExtent l="0" t="0" r="635" b="635"/>
            <wp:docPr id="4" name="Рисунок 4" descr="dasssr.jpg">
              <a:hlinkClick xmlns:a="http://schemas.openxmlformats.org/drawingml/2006/main" r:id="rId8" tooltip="&quot;dasssr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sssr.jpg">
                      <a:hlinkClick r:id="rId8" tooltip="&quot;dasssr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7B2" w:rsidRPr="005507B2" w:rsidRDefault="005507B2" w:rsidP="005507B2">
      <w:r w:rsidRPr="005507B2">
        <w:t>ВЛАСТИ ДАГЕСТАНА НАЧАЛИ ПОДГОТОВКУ К ПРАЗДНОВАНИЮ 100-ЛЕТИЯ СО ДНЯ ОБРАЗОВАНИЯ РЕСПУБЛИКИ</w:t>
      </w:r>
    </w:p>
    <w:p w:rsidR="005507B2" w:rsidRPr="005507B2" w:rsidRDefault="005507B2" w:rsidP="005507B2">
      <w:r>
        <w:t>20</w:t>
      </w:r>
      <w:r w:rsidRPr="005507B2">
        <w:t>.12.2020</w:t>
      </w:r>
    </w:p>
    <w:p w:rsidR="005507B2" w:rsidRPr="005507B2" w:rsidRDefault="005507B2" w:rsidP="005507B2">
      <w:r w:rsidRPr="005507B2">
        <w:t>Власти Дагестана начали подготовку к празднованию 100-летия со дня образования республики, юбилей будет отмечаться 21 января 2021 года. Планируется, что одним из центральных событий в ходе празднования юбилея станет торжественный вечер с участием мастеров искусств, творческих коллективов региона, а также c вручением наград дагестанцам, чей труд и заслуги отмечены государством. Также в юбилейный год особое внимание планируется уделить благоустройству исторически значимых объектов и памятников культуры.</w:t>
      </w:r>
    </w:p>
    <w:p w:rsidR="005507B2" w:rsidRPr="005507B2" w:rsidRDefault="005507B2" w:rsidP="005507B2">
      <w:r w:rsidRPr="005507B2">
        <w:t xml:space="preserve">При организации празднования в обязательном порядке будет учтена ситуация с распространением </w:t>
      </w:r>
      <w:proofErr w:type="spellStart"/>
      <w:r w:rsidRPr="005507B2">
        <w:t>коронавирусной</w:t>
      </w:r>
      <w:proofErr w:type="spellEnd"/>
      <w:r w:rsidRPr="005507B2">
        <w:t xml:space="preserve"> инфекции и необходимость соблюдения требований </w:t>
      </w:r>
      <w:proofErr w:type="spellStart"/>
      <w:r w:rsidRPr="005507B2">
        <w:t>Роспотребнадзора</w:t>
      </w:r>
      <w:proofErr w:type="spellEnd"/>
      <w:r w:rsidRPr="005507B2">
        <w:t>.</w:t>
      </w:r>
      <w:r w:rsidRPr="005507B2">
        <w:br/>
        <w:t xml:space="preserve">Дагестанская автономная советская социалистическая республика (ДАССР) была образована декретом ВЦИК 20 января 1921 года. В декабре 1921 года на первом </w:t>
      </w:r>
      <w:proofErr w:type="spellStart"/>
      <w:r w:rsidRPr="005507B2">
        <w:t>Вседагестанском</w:t>
      </w:r>
      <w:proofErr w:type="spellEnd"/>
      <w:r w:rsidRPr="005507B2">
        <w:t xml:space="preserve"> учредительном съезде Советов была принята Конституция республики.</w:t>
      </w:r>
      <w:r w:rsidRPr="005507B2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7B2" w:rsidRPr="005507B2" w:rsidRDefault="005507B2" w:rsidP="005507B2">
      <w:r w:rsidRPr="005507B2">
        <w:t>Как образовывалась ДАССР</w:t>
      </w:r>
    </w:p>
    <w:p w:rsidR="005507B2" w:rsidRPr="005507B2" w:rsidRDefault="00404783" w:rsidP="005507B2">
      <w:r>
        <w:t>20</w:t>
      </w:r>
      <w:bookmarkStart w:id="0" w:name="_GoBack"/>
      <w:bookmarkEnd w:id="0"/>
      <w:r w:rsidR="005507B2" w:rsidRPr="005507B2">
        <w:t>.12.2020</w:t>
      </w:r>
    </w:p>
    <w:p w:rsidR="005507B2" w:rsidRPr="005507B2" w:rsidRDefault="005507B2" w:rsidP="005507B2">
      <w:r w:rsidRPr="005507B2">
        <w:t>Образование Дагестанской Автономной Советской Социалистической республики 20 января 1921.</w:t>
      </w:r>
      <w:r w:rsidRPr="005507B2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7B2" w:rsidRPr="005507B2" w:rsidRDefault="005507B2" w:rsidP="005507B2">
      <w:r w:rsidRPr="005507B2">
        <w:t xml:space="preserve">13 ноября 1921 год Чрезвычайный съезд народов Дагестана </w:t>
      </w:r>
      <w:proofErr w:type="gramStart"/>
      <w:r w:rsidRPr="005507B2">
        <w:t>в</w:t>
      </w:r>
      <w:proofErr w:type="gramEnd"/>
      <w:r w:rsidRPr="005507B2">
        <w:t xml:space="preserve"> </w:t>
      </w:r>
      <w:proofErr w:type="gramStart"/>
      <w:r w:rsidRPr="005507B2">
        <w:t>Темир-хан</w:t>
      </w:r>
      <w:proofErr w:type="gramEnd"/>
      <w:r w:rsidRPr="005507B2">
        <w:t xml:space="preserve"> Шуре. Декларация об автономии Дагестана.</w:t>
      </w:r>
    </w:p>
    <w:p w:rsidR="005507B2" w:rsidRPr="005507B2" w:rsidRDefault="005507B2" w:rsidP="005507B2">
      <w:r w:rsidRPr="005507B2">
        <w:t>В состав ДАССР вошли:</w:t>
      </w:r>
      <w:r w:rsidRPr="005507B2">
        <w:br/>
        <w:t xml:space="preserve">Аварский округ Андийский округ </w:t>
      </w:r>
      <w:proofErr w:type="spellStart"/>
      <w:r w:rsidRPr="005507B2">
        <w:t>Гунибский</w:t>
      </w:r>
      <w:proofErr w:type="spellEnd"/>
      <w:r w:rsidRPr="005507B2">
        <w:t xml:space="preserve"> округ Даргинский округ </w:t>
      </w:r>
      <w:proofErr w:type="spellStart"/>
      <w:r w:rsidRPr="005507B2">
        <w:t>Казикумухский</w:t>
      </w:r>
      <w:proofErr w:type="spellEnd"/>
      <w:r w:rsidRPr="005507B2">
        <w:t xml:space="preserve"> округ </w:t>
      </w:r>
      <w:proofErr w:type="spellStart"/>
      <w:r w:rsidRPr="005507B2">
        <w:t>Кайтаго</w:t>
      </w:r>
      <w:proofErr w:type="spellEnd"/>
      <w:r w:rsidRPr="005507B2">
        <w:t xml:space="preserve"> – Табасаранский округ Кюринский округ </w:t>
      </w:r>
      <w:proofErr w:type="spellStart"/>
      <w:r w:rsidRPr="005507B2">
        <w:t>Самурский</w:t>
      </w:r>
      <w:proofErr w:type="spellEnd"/>
      <w:r w:rsidRPr="005507B2">
        <w:t xml:space="preserve"> округ Темир – Хан </w:t>
      </w:r>
      <w:proofErr w:type="gramStart"/>
      <w:r w:rsidRPr="005507B2">
        <w:t>-</w:t>
      </w:r>
      <w:proofErr w:type="spellStart"/>
      <w:r w:rsidRPr="005507B2">
        <w:t>Ш</w:t>
      </w:r>
      <w:proofErr w:type="gramEnd"/>
      <w:r w:rsidRPr="005507B2">
        <w:t>уринский</w:t>
      </w:r>
      <w:proofErr w:type="spellEnd"/>
      <w:r w:rsidRPr="005507B2">
        <w:t xml:space="preserve"> округ Хасавюртовский округ Территории Каспийского побережья</w:t>
      </w:r>
    </w:p>
    <w:p w:rsidR="005507B2" w:rsidRPr="005507B2" w:rsidRDefault="005507B2" w:rsidP="005507B2">
      <w:r w:rsidRPr="005507B2">
        <w:t>Орган власти и управления Дагестана:</w:t>
      </w:r>
      <w:r w:rsidRPr="005507B2">
        <w:br/>
        <w:t>Учреждено: 11 народных комиссариатов из них: 6 внутренних дел, юстиции, просвещения, здравоохранения, социального обеспечения, земледелия)</w:t>
      </w:r>
      <w:r w:rsidRPr="005507B2">
        <w:br/>
        <w:t>Центральный исполнительный комитет Совет народных комиссаров Местные советы</w:t>
      </w:r>
      <w:r w:rsidRPr="005507B2">
        <w:br/>
      </w:r>
      <w:proofErr w:type="spellStart"/>
      <w:r w:rsidRPr="005507B2">
        <w:t>Коркмасов</w:t>
      </w:r>
      <w:proofErr w:type="spellEnd"/>
      <w:r w:rsidRPr="005507B2">
        <w:t xml:space="preserve"> Д.</w:t>
      </w:r>
    </w:p>
    <w:p w:rsidR="005507B2" w:rsidRPr="005507B2" w:rsidRDefault="005507B2" w:rsidP="005507B2">
      <w:r w:rsidRPr="005507B2">
        <w:t>5 декабря 1921 года принята КОНСТИТУЦИЯ Дагестанской АССР.</w:t>
      </w:r>
      <w:r w:rsidRPr="005507B2">
        <w:br/>
        <w:t>Ст. 2 –я конституции гласила: «Дагестанская Советская республика является автономной и входит в состав Российской Советской Федеративной Социалистической Республики».</w:t>
      </w:r>
      <w:r w:rsidRPr="005507B2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FDF" w:rsidRDefault="00404783"/>
    <w:sectPr w:rsidR="0019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959"/>
    <w:multiLevelType w:val="multilevel"/>
    <w:tmpl w:val="25AC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2B0853"/>
    <w:multiLevelType w:val="multilevel"/>
    <w:tmpl w:val="1D10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B2"/>
    <w:rsid w:val="003C17E2"/>
    <w:rsid w:val="00404783"/>
    <w:rsid w:val="005507B2"/>
    <w:rsid w:val="00C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7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7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2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6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52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1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9910554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05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1706802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36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5006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2349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0498423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95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918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-novok.dagestanschool.ru/upload/dagscrd_novok_new/images/big/1d/95/1d9595ed0cf3f7cfd66128eaed5466e1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PhbUkhKtQg&amp;feature=youtu.be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4</cp:revision>
  <dcterms:created xsi:type="dcterms:W3CDTF">2021-01-12T12:34:00Z</dcterms:created>
  <dcterms:modified xsi:type="dcterms:W3CDTF">2021-01-12T12:38:00Z</dcterms:modified>
</cp:coreProperties>
</file>